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789B" w14:textId="77777777" w:rsidR="0027781A" w:rsidRPr="00EA0B8B" w:rsidRDefault="0027781A" w:rsidP="0027781A">
      <w:pPr>
        <w:spacing w:after="0"/>
        <w:jc w:val="both"/>
        <w:rPr>
          <w:rFonts w:ascii="Arial Narrow" w:hAnsi="Arial Narrow"/>
          <w:b/>
        </w:rPr>
      </w:pPr>
      <w:r w:rsidRPr="00365716">
        <w:rPr>
          <w:rFonts w:ascii="Arial Narrow" w:hAnsi="Arial Narrow"/>
          <w:noProof/>
        </w:rPr>
        <w:drawing>
          <wp:anchor distT="0" distB="0" distL="114300" distR="114300" simplePos="0" relativeHeight="251659264" behindDoc="0" locked="0" layoutInCell="1" allowOverlap="1" wp14:anchorId="1D67AC17" wp14:editId="2D41A5A7">
            <wp:simplePos x="0" y="0"/>
            <wp:positionH relativeFrom="margin">
              <wp:posOffset>9525</wp:posOffset>
            </wp:positionH>
            <wp:positionV relativeFrom="paragraph">
              <wp:posOffset>16510</wp:posOffset>
            </wp:positionV>
            <wp:extent cx="436245" cy="552450"/>
            <wp:effectExtent l="0" t="0" r="1905" b="0"/>
            <wp:wrapNone/>
            <wp:docPr id="2079098224" name="Slika 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15955888" descr="Slika na kojoj se prikazuje tekst, isječak crteža&#10;&#10;Opis je automatski generir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6245" cy="5524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Narrow" w:hAnsi="Arial Narrow"/>
          <w:b/>
        </w:rPr>
        <w:t xml:space="preserve">              </w:t>
      </w:r>
      <w:r w:rsidRPr="00365716">
        <w:rPr>
          <w:rFonts w:ascii="Arial Narrow" w:hAnsi="Arial Narrow"/>
          <w:b/>
        </w:rPr>
        <w:t xml:space="preserve">GRAD </w:t>
      </w:r>
      <w:r w:rsidRPr="00EA0B8B">
        <w:rPr>
          <w:rFonts w:ascii="Arial Narrow" w:hAnsi="Arial Narrow"/>
          <w:b/>
        </w:rPr>
        <w:t>ŠIBENIK</w:t>
      </w:r>
    </w:p>
    <w:p w14:paraId="47F09BBD" w14:textId="77777777" w:rsidR="0027781A" w:rsidRPr="00EA0B8B" w:rsidRDefault="0027781A" w:rsidP="0027781A">
      <w:pPr>
        <w:spacing w:after="0"/>
        <w:ind w:firstLine="720"/>
        <w:jc w:val="both"/>
        <w:rPr>
          <w:rFonts w:ascii="Arial Narrow" w:hAnsi="Arial Narrow"/>
          <w:bCs/>
        </w:rPr>
      </w:pPr>
      <w:r>
        <w:rPr>
          <w:rFonts w:ascii="Arial Narrow" w:hAnsi="Arial Narrow"/>
          <w:bCs/>
        </w:rPr>
        <w:t>Savjet mladih Grada Šibenika</w:t>
      </w:r>
    </w:p>
    <w:p w14:paraId="6170DC67" w14:textId="77777777" w:rsidR="0027781A" w:rsidRDefault="0027781A" w:rsidP="00844047">
      <w:pPr>
        <w:pStyle w:val="StandardWeb"/>
        <w:rPr>
          <w:rStyle w:val="Naglaeno"/>
          <w:rFonts w:eastAsiaTheme="majorEastAsia"/>
        </w:rPr>
      </w:pPr>
    </w:p>
    <w:p w14:paraId="241B7E86" w14:textId="77777777" w:rsidR="0027781A" w:rsidRDefault="0027781A" w:rsidP="0027781A">
      <w:pPr>
        <w:pStyle w:val="StandardWeb"/>
        <w:jc w:val="center"/>
        <w:rPr>
          <w:rStyle w:val="Naglaeno"/>
          <w:rFonts w:eastAsiaTheme="majorEastAsia"/>
        </w:rPr>
      </w:pPr>
    </w:p>
    <w:p w14:paraId="5DE0C041" w14:textId="41C455C7" w:rsidR="0027781A" w:rsidRDefault="0027781A" w:rsidP="0027781A">
      <w:pPr>
        <w:pStyle w:val="StandardWeb"/>
        <w:jc w:val="center"/>
        <w:rPr>
          <w:rStyle w:val="Naglaeno"/>
          <w:rFonts w:eastAsiaTheme="majorEastAsia"/>
        </w:rPr>
      </w:pPr>
      <w:r>
        <w:rPr>
          <w:rStyle w:val="Naglaeno"/>
          <w:rFonts w:eastAsiaTheme="majorEastAsia"/>
        </w:rPr>
        <w:t>SAVJET MLADIH GRADA ŠIBENIKA</w:t>
      </w:r>
    </w:p>
    <w:p w14:paraId="2C59F0CD" w14:textId="123C5C53" w:rsidR="00844047" w:rsidRDefault="00844047" w:rsidP="0027781A">
      <w:pPr>
        <w:pStyle w:val="StandardWeb"/>
        <w:jc w:val="center"/>
      </w:pPr>
      <w:r>
        <w:rPr>
          <w:rStyle w:val="Naglaeno"/>
          <w:rFonts w:eastAsiaTheme="majorEastAsia"/>
        </w:rPr>
        <w:t>IZVJEŠĆE O RADU SAVJETA MLADIH GRADA ŠIBENIKA ZA 2025. GODINU</w:t>
      </w:r>
    </w:p>
    <w:p w14:paraId="7D63CDE3" w14:textId="77777777" w:rsidR="0027781A" w:rsidRDefault="0027781A" w:rsidP="00844047">
      <w:pPr>
        <w:pStyle w:val="StandardWeb"/>
        <w:jc w:val="both"/>
      </w:pPr>
    </w:p>
    <w:p w14:paraId="1177BCEC" w14:textId="78DE75B9" w:rsidR="00844047" w:rsidRDefault="00844047" w:rsidP="00844047">
      <w:pPr>
        <w:pStyle w:val="StandardWeb"/>
        <w:jc w:val="both"/>
      </w:pPr>
      <w:r>
        <w:t xml:space="preserve">Savjet mladih Grada Šibenika, kao savjetodavno tijelo Grada Šibenika osnovano radi promicanja i zagovaranja prava, potreba i interesa mladih na lokalnoj razini, u 2025. godini djelovao je u specifičnim okolnostima uvjetovanima istekom mandata prethodnog saziva i konstituiranjem novog sastava pred kraj kalendarske godine. Uloga savjeta mladih jest poticanje uključivanja mladih u javni život, jačanje dijaloga između mladih i donositelja odluka te predlaganje aktivnosti i mjera usmjerenih unapređenju položaja mladih u lokalnoj zajednici. </w:t>
      </w:r>
    </w:p>
    <w:p w14:paraId="3997520C" w14:textId="77777777" w:rsidR="00844047" w:rsidRDefault="00844047" w:rsidP="00844047">
      <w:pPr>
        <w:pStyle w:val="StandardWeb"/>
        <w:jc w:val="both"/>
      </w:pPr>
      <w:r>
        <w:t>Prethodni sastav Savjeta mladih Grada Šibenika raspušten je Odlukom Vlade Republike Hrvatske danom stupanja na snagu Odluke o raspisivanju izbora za članove predstavničkih tijela jedinica lokalne i područne (regionalne) samouprave, odnosno 15. travnja 2025. godine. Novi sastav Savjeta mladih Grada Šibenika konstituiran je 20. listopada 2025. godine.</w:t>
      </w:r>
    </w:p>
    <w:p w14:paraId="7D33658E" w14:textId="17E0E776" w:rsidR="00844047" w:rsidRDefault="00844047" w:rsidP="00844047">
      <w:pPr>
        <w:pStyle w:val="StandardWeb"/>
      </w:pPr>
      <w:r w:rsidRPr="0027781A">
        <w:rPr>
          <w:u w:val="single"/>
        </w:rPr>
        <w:t>Savjet mladih Grada Šibenika u sadašnjem sazivu čini sedam članova:</w:t>
      </w:r>
      <w:r>
        <w:br/>
        <w:t>1.Bruna Vranjić, predsjednica,</w:t>
      </w:r>
      <w:r>
        <w:br/>
        <w:t>2.Mate Jakelić, zamjenik predsjednice,</w:t>
      </w:r>
      <w:r>
        <w:br/>
        <w:t>3.Anđela Mrčela, članica,</w:t>
      </w:r>
      <w:r>
        <w:br/>
        <w:t>4.Vito Milovanović, član,</w:t>
      </w:r>
      <w:r>
        <w:br/>
        <w:t>5.Marin Bolanča, član,</w:t>
      </w:r>
      <w:r>
        <w:br/>
        <w:t xml:space="preserve">6.Giovanna </w:t>
      </w:r>
      <w:r w:rsidR="008E0A95">
        <w:t>L</w:t>
      </w:r>
      <w:r>
        <w:t>a Gala, članica,</w:t>
      </w:r>
      <w:r>
        <w:br/>
        <w:t>7.Luka Kneževi</w:t>
      </w:r>
      <w:r w:rsidR="008E0A95">
        <w:t>ć</w:t>
      </w:r>
      <w:r>
        <w:t>, član.</w:t>
      </w:r>
    </w:p>
    <w:p w14:paraId="37CBF890" w14:textId="77777777" w:rsidR="00844047" w:rsidRDefault="00844047" w:rsidP="00844047">
      <w:pPr>
        <w:pStyle w:val="StandardWeb"/>
        <w:jc w:val="both"/>
      </w:pPr>
      <w:r>
        <w:t>S obzirom na to da je novi saziv Savjeta mladih konstituiran u posljednjem tromjesečju 2025. godine, razdoblje za provedbu opsežnijih aktivnosti bilo je objektivno ograničeno. Unatoč tome, novoizabrani Savjet mladih odmah je pristupio organiziranju svojega rada, utvrđivanju prioritetnih područja djelovanja te postavljanju temelja za sustavniji i sadržajniji rad u 2026. godini.</w:t>
      </w:r>
    </w:p>
    <w:p w14:paraId="270B8F72" w14:textId="4BBA5653" w:rsidR="00844047" w:rsidRDefault="00844047" w:rsidP="00844047">
      <w:pPr>
        <w:pStyle w:val="StandardWeb"/>
        <w:jc w:val="both"/>
      </w:pPr>
      <w:r>
        <w:t xml:space="preserve">Na svojoj 1. sjednici </w:t>
      </w:r>
      <w:r w:rsidR="008E0A95">
        <w:t xml:space="preserve">novi saziv </w:t>
      </w:r>
      <w:r>
        <w:t>Savjet</w:t>
      </w:r>
      <w:r w:rsidR="008E0A95">
        <w:t>a</w:t>
      </w:r>
      <w:r>
        <w:t xml:space="preserve"> mladih Grada Šibenika potvrdio je</w:t>
      </w:r>
      <w:r w:rsidR="008E0A95">
        <w:t xml:space="preserve"> već usvojeni</w:t>
      </w:r>
      <w:r>
        <w:t xml:space="preserve"> Program rada Savjeta mladih Grada Šibenika za 2025. godinu zajedno s Financijskim planom. Time su stvoreni formalni i organizacijski preduvjeti za zakonit i planski rad Savjeta te za definiranje temeljnih smjernica djelovanja u prijelaznom razdoblju nakon konstituiranja.</w:t>
      </w:r>
    </w:p>
    <w:p w14:paraId="018AC7CF" w14:textId="77777777" w:rsidR="00844047" w:rsidRDefault="00844047" w:rsidP="00844047">
      <w:pPr>
        <w:pStyle w:val="StandardWeb"/>
        <w:jc w:val="both"/>
      </w:pPr>
      <w:r>
        <w:t>Tijekom 2025. godine novo konstituirani Savjet mladih održao je ukupno tri sjednice, o čemu su sastavljeni odgovarajući zapisnici. Održavanjem sjednica osigurana je institucionalna kontinuitet rada Savjeta, pravodobno donošenje potrebnih akata te rasprava o prioritetima i budućim aktivnostima važnima za mlade na području Grada Šibenika.</w:t>
      </w:r>
    </w:p>
    <w:p w14:paraId="596A5FEA" w14:textId="77777777" w:rsidR="00610433" w:rsidRDefault="00610433" w:rsidP="00844047">
      <w:pPr>
        <w:pStyle w:val="StandardWeb"/>
        <w:jc w:val="both"/>
      </w:pPr>
    </w:p>
    <w:p w14:paraId="38D8CE66" w14:textId="77777777" w:rsidR="00610433" w:rsidRDefault="00610433" w:rsidP="00844047">
      <w:pPr>
        <w:pStyle w:val="StandardWeb"/>
        <w:jc w:val="both"/>
      </w:pPr>
    </w:p>
    <w:p w14:paraId="02D21CC0" w14:textId="77777777" w:rsidR="00610433" w:rsidRDefault="00610433" w:rsidP="00844047">
      <w:pPr>
        <w:pStyle w:val="StandardWeb"/>
        <w:jc w:val="both"/>
      </w:pPr>
    </w:p>
    <w:p w14:paraId="5B83EAF3" w14:textId="77777777" w:rsidR="00610433" w:rsidRDefault="00610433" w:rsidP="00844047">
      <w:pPr>
        <w:pStyle w:val="StandardWeb"/>
        <w:jc w:val="both"/>
      </w:pPr>
    </w:p>
    <w:p w14:paraId="441FF6F0" w14:textId="6ED950FA" w:rsidR="00844047" w:rsidRDefault="00844047" w:rsidP="00844047">
      <w:pPr>
        <w:pStyle w:val="StandardWeb"/>
        <w:jc w:val="both"/>
      </w:pPr>
      <w:r>
        <w:t>U izvještajnom razdoblju Savjet mladih posebno se usmjerio na prikupljanje prijedloga i oblikovanje ideja koje su poslužile kao osnova za izradu Programa rada Savjeta mladih Grada Šibenika za 2026. godinu. Ovaj segment rada bio je od osobite važnosti jer je novom sazivu omogućio da već u početnoj fazi mandata prepozna potrebe, interese i potencijalne pravce djelovanja mladih u lokalnoj zajednici. Kroz međusobne konzultacije i razmjenu prijedloga članovi Savjeta postavili su temelj za daljnje aktivnosti usmjerene većoj vidljivosti Savjeta, jačanju sudjelovanja mladih u društvenom životu grada te boljoj komunikaciji s mladima.</w:t>
      </w:r>
    </w:p>
    <w:p w14:paraId="0E654F86" w14:textId="43ED7CD1" w:rsidR="008E0A95" w:rsidRPr="008E0A95" w:rsidRDefault="008E0A95" w:rsidP="008E0A95">
      <w:pPr>
        <w:pStyle w:val="StandardWeb"/>
        <w:jc w:val="both"/>
      </w:pPr>
      <w:r>
        <w:t>Također, Savjet mladih je izabrao članove za sudjelovanje u radu sljedećih radnih tijela Gradskog vijeća i to kako slijedi:</w:t>
      </w:r>
    </w:p>
    <w:p w14:paraId="5FA87E87" w14:textId="36AB369F"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1.Odbor za izbor i imenovanja-Luka Knežević, vanjski član, predstavnik Savjeta mladih Grada Šibenika</w:t>
      </w:r>
      <w:r>
        <w:rPr>
          <w:rFonts w:ascii="Times New Roman" w:hAnsi="Times New Roman" w:cs="Times New Roman"/>
        </w:rPr>
        <w:t>.</w:t>
      </w:r>
    </w:p>
    <w:p w14:paraId="5E0AD962" w14:textId="77777777" w:rsidR="008E0A95" w:rsidRPr="008E0A95" w:rsidRDefault="008E0A95" w:rsidP="008E0A95">
      <w:pPr>
        <w:pStyle w:val="Bezproreda"/>
        <w:rPr>
          <w:rFonts w:ascii="Times New Roman" w:hAnsi="Times New Roman" w:cs="Times New Roman"/>
        </w:rPr>
      </w:pPr>
    </w:p>
    <w:p w14:paraId="6142645C" w14:textId="5B82740E"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2.Mandatno povjerenstvo Gradskog vijeća Grada Šibenika-Vito Milovanović, vanjski član, predstavnik Savjeta mladih Grada Šibenika</w:t>
      </w:r>
      <w:r>
        <w:rPr>
          <w:rFonts w:ascii="Times New Roman" w:hAnsi="Times New Roman" w:cs="Times New Roman"/>
        </w:rPr>
        <w:t>.</w:t>
      </w:r>
    </w:p>
    <w:p w14:paraId="4B10FC81" w14:textId="77777777" w:rsidR="008E0A95" w:rsidRPr="008E0A95" w:rsidRDefault="008E0A95" w:rsidP="008E0A95">
      <w:pPr>
        <w:pStyle w:val="Bezproreda"/>
        <w:rPr>
          <w:rFonts w:ascii="Times New Roman" w:hAnsi="Times New Roman" w:cs="Times New Roman"/>
        </w:rPr>
      </w:pPr>
    </w:p>
    <w:p w14:paraId="65B3CDF5" w14:textId="292DC244"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3.Odbor za statutarno-pravna pitanja-Mate Jakelić, vanjski član, predstavnik Savjeta mladih Grada Šibenika</w:t>
      </w:r>
      <w:r>
        <w:rPr>
          <w:rFonts w:ascii="Times New Roman" w:hAnsi="Times New Roman" w:cs="Times New Roman"/>
        </w:rPr>
        <w:t>.</w:t>
      </w:r>
    </w:p>
    <w:p w14:paraId="3DF11BD3" w14:textId="77777777" w:rsidR="008E0A95" w:rsidRPr="008E0A95" w:rsidRDefault="008E0A95" w:rsidP="008E0A95">
      <w:pPr>
        <w:pStyle w:val="Bezproreda"/>
        <w:rPr>
          <w:rFonts w:ascii="Times New Roman" w:hAnsi="Times New Roman" w:cs="Times New Roman"/>
        </w:rPr>
      </w:pPr>
    </w:p>
    <w:p w14:paraId="65C5561A" w14:textId="4DC211B2"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4.Odbor za plan, financije i gradsku imovinu -Vito Milovanović, vanjski član, predstavnik Savjeta mladih Grada Šibenika</w:t>
      </w:r>
      <w:r>
        <w:rPr>
          <w:rFonts w:ascii="Times New Roman" w:hAnsi="Times New Roman" w:cs="Times New Roman"/>
        </w:rPr>
        <w:t>.</w:t>
      </w:r>
    </w:p>
    <w:p w14:paraId="5E85053A" w14:textId="77777777" w:rsidR="008E0A95" w:rsidRPr="008E0A95" w:rsidRDefault="008E0A95" w:rsidP="008E0A95">
      <w:pPr>
        <w:pStyle w:val="Bezproreda"/>
        <w:rPr>
          <w:rFonts w:ascii="Times New Roman" w:hAnsi="Times New Roman" w:cs="Times New Roman"/>
        </w:rPr>
      </w:pPr>
    </w:p>
    <w:p w14:paraId="30265D7C" w14:textId="1943813F"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5.Odbor za prostorno uređenje, komunalno gospodarstvo i stambene odnose-Giovanna La Gala, vanjski član, predstavnik Savjeta mladih Grada Šibenika</w:t>
      </w:r>
      <w:r>
        <w:rPr>
          <w:rFonts w:ascii="Times New Roman" w:hAnsi="Times New Roman" w:cs="Times New Roman"/>
        </w:rPr>
        <w:t>.</w:t>
      </w:r>
    </w:p>
    <w:p w14:paraId="4ADD289A" w14:textId="77777777" w:rsidR="008E0A95" w:rsidRPr="008E0A95" w:rsidRDefault="008E0A95" w:rsidP="008E0A95">
      <w:pPr>
        <w:pStyle w:val="Bezproreda"/>
        <w:rPr>
          <w:rFonts w:ascii="Times New Roman" w:hAnsi="Times New Roman" w:cs="Times New Roman"/>
        </w:rPr>
      </w:pPr>
    </w:p>
    <w:p w14:paraId="216B6B85" w14:textId="69EBE1D4"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6.Odbor za gospodarstvo-Anđela Mrčela, vanjski član, predstavnik Savjeta mladih Grada Šibenika</w:t>
      </w:r>
      <w:r>
        <w:rPr>
          <w:rFonts w:ascii="Times New Roman" w:hAnsi="Times New Roman" w:cs="Times New Roman"/>
        </w:rPr>
        <w:t>.</w:t>
      </w:r>
    </w:p>
    <w:p w14:paraId="3108A369" w14:textId="77777777" w:rsidR="008E0A95" w:rsidRPr="008E0A95" w:rsidRDefault="008E0A95" w:rsidP="008E0A95">
      <w:pPr>
        <w:pStyle w:val="Bezproreda"/>
        <w:rPr>
          <w:rFonts w:ascii="Times New Roman" w:hAnsi="Times New Roman" w:cs="Times New Roman"/>
        </w:rPr>
      </w:pPr>
    </w:p>
    <w:p w14:paraId="3371C1AC" w14:textId="155145B5"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7.Odbor za razvoj mjesne samouprave-Luka Knežević, vanjski član, predstavnik Savjeta mladih Grada Šibenika</w:t>
      </w:r>
      <w:r>
        <w:rPr>
          <w:rFonts w:ascii="Times New Roman" w:hAnsi="Times New Roman" w:cs="Times New Roman"/>
        </w:rPr>
        <w:t>.</w:t>
      </w:r>
    </w:p>
    <w:p w14:paraId="2E1FA4C0" w14:textId="77777777" w:rsidR="008E0A95" w:rsidRPr="008E0A95" w:rsidRDefault="008E0A95" w:rsidP="008E0A95">
      <w:pPr>
        <w:pStyle w:val="Bezproreda"/>
        <w:rPr>
          <w:rFonts w:ascii="Times New Roman" w:hAnsi="Times New Roman" w:cs="Times New Roman"/>
        </w:rPr>
      </w:pPr>
    </w:p>
    <w:p w14:paraId="0F00153F" w14:textId="1C737B63"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8.Odbor za suradnju s općinama, gradovima, regijama i međunarodnu suradnju-Marin Bolanča, vanjski član, predstavnik Savjeta mladih Grada Šibenika</w:t>
      </w:r>
      <w:r>
        <w:rPr>
          <w:rFonts w:ascii="Times New Roman" w:hAnsi="Times New Roman" w:cs="Times New Roman"/>
        </w:rPr>
        <w:t>.</w:t>
      </w:r>
    </w:p>
    <w:p w14:paraId="113BCDE8" w14:textId="77777777" w:rsidR="008E0A95" w:rsidRPr="008E0A95" w:rsidRDefault="008E0A95" w:rsidP="008E0A95">
      <w:pPr>
        <w:pStyle w:val="Bezproreda"/>
        <w:rPr>
          <w:rFonts w:ascii="Times New Roman" w:hAnsi="Times New Roman" w:cs="Times New Roman"/>
        </w:rPr>
      </w:pPr>
    </w:p>
    <w:p w14:paraId="3E5703B7" w14:textId="45B3C403"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9.Odbor za društvene djelatnosti-Giovanna La Gala, vanjski član, predstavnik Savjeta mladih Grada Šibenika</w:t>
      </w:r>
      <w:r>
        <w:rPr>
          <w:rFonts w:ascii="Times New Roman" w:hAnsi="Times New Roman" w:cs="Times New Roman"/>
        </w:rPr>
        <w:t>.</w:t>
      </w:r>
    </w:p>
    <w:p w14:paraId="5E2B7588" w14:textId="77777777" w:rsidR="008E0A95" w:rsidRPr="008E0A95" w:rsidRDefault="008E0A95" w:rsidP="008E0A95">
      <w:pPr>
        <w:pStyle w:val="Bezproreda"/>
        <w:rPr>
          <w:rFonts w:ascii="Times New Roman" w:hAnsi="Times New Roman" w:cs="Times New Roman"/>
        </w:rPr>
      </w:pPr>
    </w:p>
    <w:p w14:paraId="4448C2B0" w14:textId="4D4E08C8"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10.Odbor za zaštitu okoliša-Marin Bolanča, vanjski član, predstavnik Savjeta mladih Grada Šibenika</w:t>
      </w:r>
      <w:r>
        <w:rPr>
          <w:rFonts w:ascii="Times New Roman" w:hAnsi="Times New Roman" w:cs="Times New Roman"/>
        </w:rPr>
        <w:t>.</w:t>
      </w:r>
    </w:p>
    <w:p w14:paraId="3661C370" w14:textId="77777777" w:rsidR="008E0A95" w:rsidRPr="008E0A95" w:rsidRDefault="008E0A95" w:rsidP="008E0A95">
      <w:pPr>
        <w:pStyle w:val="Bezproreda"/>
        <w:rPr>
          <w:rFonts w:ascii="Times New Roman" w:hAnsi="Times New Roman" w:cs="Times New Roman"/>
        </w:rPr>
      </w:pPr>
    </w:p>
    <w:p w14:paraId="5F936FEF" w14:textId="2D6315F4"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11.Odbor za prigovore i tužbe-Anđela Mrčela, vanjski član, predstavnik Savjeta mladih Grada Šibenika</w:t>
      </w:r>
      <w:r>
        <w:rPr>
          <w:rFonts w:ascii="Times New Roman" w:hAnsi="Times New Roman" w:cs="Times New Roman"/>
        </w:rPr>
        <w:t>.</w:t>
      </w:r>
    </w:p>
    <w:p w14:paraId="363A1245" w14:textId="77777777" w:rsidR="008E0A95" w:rsidRPr="008E0A95" w:rsidRDefault="008E0A95" w:rsidP="008E0A95">
      <w:pPr>
        <w:pStyle w:val="Bezproreda"/>
        <w:rPr>
          <w:rFonts w:ascii="Times New Roman" w:hAnsi="Times New Roman" w:cs="Times New Roman"/>
        </w:rPr>
      </w:pPr>
    </w:p>
    <w:p w14:paraId="6752D530" w14:textId="41DF44E6" w:rsidR="008E0A95" w:rsidRPr="008E0A95" w:rsidRDefault="008E0A95" w:rsidP="008E0A95">
      <w:pPr>
        <w:pStyle w:val="Bezproreda"/>
        <w:rPr>
          <w:rFonts w:ascii="Times New Roman" w:hAnsi="Times New Roman" w:cs="Times New Roman"/>
        </w:rPr>
      </w:pPr>
      <w:r w:rsidRPr="008E0A95">
        <w:rPr>
          <w:rFonts w:ascii="Times New Roman" w:hAnsi="Times New Roman" w:cs="Times New Roman"/>
        </w:rPr>
        <w:t>12.Odbor za dodjelu nagrada i drugih priznanja -Mate Jakelić, vanjski član, predstavnik Savjeta mladih Grada Šibenika</w:t>
      </w:r>
      <w:r>
        <w:rPr>
          <w:rFonts w:ascii="Times New Roman" w:hAnsi="Times New Roman" w:cs="Times New Roman"/>
        </w:rPr>
        <w:t>.</w:t>
      </w:r>
    </w:p>
    <w:p w14:paraId="2374BAA7" w14:textId="77777777" w:rsidR="00610433" w:rsidRDefault="00610433" w:rsidP="00844047">
      <w:pPr>
        <w:pStyle w:val="StandardWeb"/>
        <w:jc w:val="both"/>
      </w:pPr>
    </w:p>
    <w:p w14:paraId="5D0D0595" w14:textId="77777777" w:rsidR="00610433" w:rsidRDefault="00610433" w:rsidP="00844047">
      <w:pPr>
        <w:pStyle w:val="StandardWeb"/>
        <w:jc w:val="both"/>
      </w:pPr>
    </w:p>
    <w:p w14:paraId="1AFAEEF1" w14:textId="77777777" w:rsidR="00610433" w:rsidRDefault="00610433" w:rsidP="00844047">
      <w:pPr>
        <w:pStyle w:val="StandardWeb"/>
        <w:jc w:val="both"/>
      </w:pPr>
    </w:p>
    <w:p w14:paraId="41FA1622" w14:textId="77777777" w:rsidR="00610433" w:rsidRDefault="00610433" w:rsidP="00844047">
      <w:pPr>
        <w:pStyle w:val="StandardWeb"/>
        <w:jc w:val="both"/>
      </w:pPr>
    </w:p>
    <w:p w14:paraId="19512B82" w14:textId="27AD64A0" w:rsidR="00844047" w:rsidRDefault="00844047" w:rsidP="00844047">
      <w:pPr>
        <w:pStyle w:val="StandardWeb"/>
        <w:jc w:val="both"/>
      </w:pPr>
      <w:r>
        <w:t xml:space="preserve">Savjet mladih Grada Šibenika tijekom 2025. godine uključio se i u projekt </w:t>
      </w:r>
      <w:r>
        <w:rPr>
          <w:rStyle w:val="Naglaeno"/>
          <w:rFonts w:eastAsiaTheme="majorEastAsia"/>
        </w:rPr>
        <w:t>For Youth</w:t>
      </w:r>
      <w:r>
        <w:t>, u okviru kojega su održani sastanci te su razmatrane i utvrđivane ideje važne za buduću provedbu projektnih aktivnosti. Sudjelovanje u navedenom projektu predstavlja važan iskorak u povezivanju Savjeta s inicijativama usmjerenima mladima, razvoju partnerske suradnje te otvaranju prostora za buduće programe i sadržaje koji će doprinijeti kvaliteti života mladih u Gradu Šibeniku.</w:t>
      </w:r>
    </w:p>
    <w:p w14:paraId="59FEE2C2" w14:textId="77777777" w:rsidR="00844047" w:rsidRDefault="00844047" w:rsidP="00844047">
      <w:pPr>
        <w:pStyle w:val="StandardWeb"/>
        <w:jc w:val="both"/>
      </w:pPr>
      <w:r>
        <w:t>U sklopu pripremnih aktivnosti usmjerenih na jačanje javne prisutnosti i dostupnosti informacija o radu Savjeta, održani su razgovori vezani uz otvaranje mrežne stranice Savjeta mladih te pokretanje njegovih profila na društvenim mrežama. Ove aktivnosti imaju osobitu važnost jer predstavljaju preduvjet za sustavnije informiranje mladih o radu Savjeta, pravodobnu komunikaciju o planiranim događanjima i inicijativama te stvaranje otvorenijeg i pristupačnijeg kanala za prikupljanje prijedloga i mišljenja mladih. U suvremenim okolnostima djelovanja upravo digitalna prisutnost predstavlja jedan od ključnih alata za vidljivost i učinkovitost savjeta mladih, zbog čega je navedena aktivnost prepoznata kao jedan od važnih prioriteta budućeg rada.</w:t>
      </w:r>
    </w:p>
    <w:p w14:paraId="224DFFB9" w14:textId="77777777" w:rsidR="00844047" w:rsidRDefault="00844047" w:rsidP="00844047">
      <w:pPr>
        <w:pStyle w:val="StandardWeb"/>
        <w:jc w:val="both"/>
      </w:pPr>
      <w:r>
        <w:t xml:space="preserve">Nadalje, Savjet mladih Grada Šibenika sudjelovao je u </w:t>
      </w:r>
      <w:r>
        <w:rPr>
          <w:rStyle w:val="Naglaeno"/>
          <w:rFonts w:eastAsiaTheme="majorEastAsia"/>
        </w:rPr>
        <w:t>Dodjeli volonterske nagrade za 2025. godinu</w:t>
      </w:r>
      <w:r>
        <w:t>, čime je pružena podrška promicanju volonterstva, društvene odgovornosti i aktivnog građanstva među mladima. Sudjelovanje u takvim događanjima pridonosi afirmaciji vrijednosti solidarnosti, društvenog angažmana i međugeneracijske suradnje te istodobno jača prepoznatljivost Savjeta mladih kao aktivnog dionika u lokalnoj zajednici.</w:t>
      </w:r>
    </w:p>
    <w:p w14:paraId="4F2DED9E" w14:textId="77777777" w:rsidR="0027781A" w:rsidRPr="0027781A" w:rsidRDefault="0027781A" w:rsidP="0027781A">
      <w:pPr>
        <w:pStyle w:val="StandardWeb"/>
        <w:jc w:val="both"/>
      </w:pPr>
      <w:r w:rsidRPr="0027781A">
        <w:t xml:space="preserve">U izvještajnom razdoblju posebno je važno istaknuti i aktivnosti vezane uz izradu </w:t>
      </w:r>
      <w:r w:rsidRPr="0027781A">
        <w:rPr>
          <w:b/>
          <w:bCs/>
        </w:rPr>
        <w:t>Lokalnog programa za mlade Grada Šibenika za razdoblje 2026. – 2028. godine</w:t>
      </w:r>
      <w:r w:rsidRPr="0027781A">
        <w:t>. Izrada navedenog strateškog dokumenta financirana je iz proračuna Savjeta mladih u iznosu od 6.200,00 eura, čime je osigurana stručna podloga za sustavno planiranje mjera i aktivnosti usmjerenih unapređenju položaja mladih na području Grada Šibenika.</w:t>
      </w:r>
    </w:p>
    <w:p w14:paraId="3001B751" w14:textId="77777777" w:rsidR="0027781A" w:rsidRPr="0027781A" w:rsidRDefault="0027781A" w:rsidP="0027781A">
      <w:pPr>
        <w:pStyle w:val="StandardWeb"/>
        <w:jc w:val="both"/>
      </w:pPr>
      <w:r w:rsidRPr="0027781A">
        <w:t>Proces izrade Lokalnog programa započet je u razdoblju kada Savjet mladih Grada Šibenika još nije bio konstituiran, slijedom čega Savjet nije sudjelovao u inicijalnoj fazi njegove izrade. Međutim, po konstituiranju Savjeta mladih dana 20. listopada 2025. godine, članovi Savjeta su se upoznali s izrađenim dokumentom te su, u okviru svojih nadležnosti, preuzeli ulogu predlagatelja Lokalnog programa prema Gradskom vijeću Grada Šibenika.</w:t>
      </w:r>
    </w:p>
    <w:p w14:paraId="4CE26E00" w14:textId="77777777" w:rsidR="0027781A" w:rsidRPr="0027781A" w:rsidRDefault="0027781A" w:rsidP="0027781A">
      <w:pPr>
        <w:pStyle w:val="StandardWeb"/>
        <w:jc w:val="both"/>
      </w:pPr>
      <w:r w:rsidRPr="0027781A">
        <w:t>Na taj način osigurana je institucionalna kontinuitet i formalna uključenost Savjeta mladih u donošenje ključnog strateškog dokumenta za mlade, uz uvažavanje činjenice da je riječ o dokumentu od posebnog značaja za dugoročno planiranje i razvoj politika za mlade na lokalnoj razini.</w:t>
      </w:r>
    </w:p>
    <w:p w14:paraId="5475AAA5" w14:textId="3D31F965" w:rsidR="0027781A" w:rsidRDefault="0027781A" w:rsidP="00844047">
      <w:pPr>
        <w:pStyle w:val="StandardWeb"/>
        <w:jc w:val="both"/>
      </w:pPr>
      <w:r w:rsidRPr="0027781A">
        <w:t>Savjet mladih Grada Šibenika prepoznaje Lokalni program za mlade za razdoblje 2026. – 2028. godine kao temeljni strateški okvir svojega budućeg djelovanja te će svoje aktivnosti, inicijative i prijedloge i nadalje usmjeravati u skladu s definiranim ciljevima i mjerama iz navedenog Programa. Poseban naglasak bit će stavljen na praćenje provedbe Programa, poticanje suradnje s relevantnim dionicima te kontinuirano uključivanje mladih u procese donošenja odluka.</w:t>
      </w:r>
    </w:p>
    <w:p w14:paraId="25582E7B" w14:textId="4FD3EDDD" w:rsidR="00844047" w:rsidRDefault="00844047" w:rsidP="00844047">
      <w:pPr>
        <w:pStyle w:val="StandardWeb"/>
        <w:jc w:val="both"/>
      </w:pPr>
      <w:r>
        <w:t>Iako je djelovanje Savjeta mladih Grada Šibenika u 2025. godini bilo vremenski ograničeno zbog kasnijeg konstituiranja novog saziva, može se zaključiti kako je u relativno kratkom razdoblju ostvaren niz važnih organizacijskih i pripremnih aktivnosti. Posebno valja istaknuti usvajanje osnovnih planskih dokumenata, održavanje sjednica, sudjelovanje u projektu For Youth, početne korake prema uspostavi digitalnih komunikacijskih kanala te uključivanje u aktivnosti kojima se promiče volontiranje i aktivno sudjelovanje mladih u zajednici.</w:t>
      </w:r>
    </w:p>
    <w:p w14:paraId="7191D6D4" w14:textId="77777777" w:rsidR="00610433" w:rsidRDefault="00610433" w:rsidP="00844047">
      <w:pPr>
        <w:pStyle w:val="StandardWeb"/>
        <w:jc w:val="both"/>
      </w:pPr>
    </w:p>
    <w:p w14:paraId="1C7B16AE" w14:textId="77777777" w:rsidR="00610433" w:rsidRDefault="00610433" w:rsidP="00844047">
      <w:pPr>
        <w:pStyle w:val="StandardWeb"/>
        <w:jc w:val="both"/>
      </w:pPr>
    </w:p>
    <w:p w14:paraId="42FBE918" w14:textId="02EB6B2C" w:rsidR="00844047" w:rsidRDefault="00844047" w:rsidP="00844047">
      <w:pPr>
        <w:pStyle w:val="StandardWeb"/>
        <w:jc w:val="both"/>
      </w:pPr>
      <w:r>
        <w:t>Rad Savjeta u 2025. godini stoga se može ocijeniti kao početna, ali značajna faza uspostave novog saziva, tijekom koje su postavljeni temelji za intenzivniji, sadržajniji i vidljiviji rad u 2026. godini. Posebna vrijednost ostvarenih aktivnosti ogleda se u činjenici da su članovi Savjeta već na samom početku mandata iskazali spremnost za aktivan rad, međusobnu suradnju i uključivanje u projekte i inicijative od interesa za mlade Grada Šibenika.</w:t>
      </w:r>
    </w:p>
    <w:p w14:paraId="552A1156" w14:textId="72CEA426" w:rsidR="0027781A" w:rsidRDefault="00844047" w:rsidP="00844047">
      <w:pPr>
        <w:pStyle w:val="StandardWeb"/>
        <w:jc w:val="both"/>
      </w:pPr>
      <w:r>
        <w:t>Slijedom navedenoga, Savjet mladih Grada Šibenika ocjenjuje da su u izvještajnom razdoblju, u okviru raspoloživog vremena i mogućnosti, ostvareni ključni preduvjeti za daljnji razvoj rada Savjeta, jačanje njegove vidljivosti u javnom prostoru te sustavnije zastupanje interesa mladih u Gradu Šibeniku.</w:t>
      </w:r>
    </w:p>
    <w:p w14:paraId="51C7A986" w14:textId="2A1C57A6" w:rsidR="0027781A" w:rsidRDefault="0027781A" w:rsidP="008E0A95">
      <w:pPr>
        <w:pStyle w:val="StandardWeb"/>
        <w:jc w:val="both"/>
      </w:pPr>
      <w:r>
        <w:t xml:space="preserve">Savjet mladih, također održava redovite kontakte i sastanke s Upravnim odjelom za društvene djelatnosti Grada Šibenika i usko surađuje na provedbi svojih aktivnosti. O svim aktivnostima Savjeta mladih obaviješten je Gradonačelnik i predsjednik Gradskog Vijeća u skladu sa Zakonom o savjetima mladih. </w:t>
      </w:r>
    </w:p>
    <w:p w14:paraId="72A11EEE" w14:textId="77777777" w:rsidR="008E0A95" w:rsidRPr="008E0A95" w:rsidRDefault="008E0A95" w:rsidP="008E0A95">
      <w:pPr>
        <w:pStyle w:val="StandardWeb"/>
        <w:jc w:val="both"/>
      </w:pPr>
    </w:p>
    <w:p w14:paraId="1D027BF5" w14:textId="24043DE8" w:rsidR="00844047" w:rsidRPr="008E0A95" w:rsidRDefault="00844047" w:rsidP="0027781A">
      <w:pPr>
        <w:rPr>
          <w:rFonts w:ascii="Times New Roman" w:eastAsia="Times New Roman" w:hAnsi="Times New Roman" w:cs="Times New Roman"/>
          <w:kern w:val="0"/>
          <w:lang w:eastAsia="hr-HR"/>
          <w14:ligatures w14:val="none"/>
        </w:rPr>
      </w:pPr>
      <w:r w:rsidRPr="008E0A95">
        <w:rPr>
          <w:rFonts w:ascii="Times New Roman" w:hAnsi="Times New Roman" w:cs="Times New Roman"/>
          <w:b/>
          <w:bCs/>
        </w:rPr>
        <w:t xml:space="preserve">FINANCIJSKO IZVRŠENJE PROGRAMA ZA 2025. GODINU </w:t>
      </w:r>
    </w:p>
    <w:tbl>
      <w:tblPr>
        <w:tblStyle w:val="Reetkatablice"/>
        <w:tblW w:w="0" w:type="auto"/>
        <w:tblLook w:val="04A0" w:firstRow="1" w:lastRow="0" w:firstColumn="1" w:lastColumn="0" w:noHBand="0" w:noVBand="1"/>
      </w:tblPr>
      <w:tblGrid>
        <w:gridCol w:w="2689"/>
        <w:gridCol w:w="2409"/>
        <w:gridCol w:w="2127"/>
      </w:tblGrid>
      <w:tr w:rsidR="00844047" w14:paraId="31317344" w14:textId="77777777" w:rsidTr="00844047">
        <w:trPr>
          <w:trHeight w:val="619"/>
        </w:trPr>
        <w:tc>
          <w:tcPr>
            <w:tcW w:w="2689" w:type="dxa"/>
            <w:shd w:val="clear" w:color="auto" w:fill="DAE9F7" w:themeFill="text2" w:themeFillTint="1A"/>
            <w:vAlign w:val="center"/>
          </w:tcPr>
          <w:p w14:paraId="45032FBD" w14:textId="14AFE349" w:rsidR="00844047" w:rsidRPr="0027781A" w:rsidRDefault="00844047" w:rsidP="00844047">
            <w:pPr>
              <w:pStyle w:val="StandardWeb"/>
              <w:jc w:val="center"/>
              <w:rPr>
                <w:b/>
                <w:bCs/>
              </w:rPr>
            </w:pPr>
            <w:r w:rsidRPr="0027781A">
              <w:rPr>
                <w:b/>
                <w:bCs/>
              </w:rPr>
              <w:t>NAZIVE STAVKE U PRORAČUNU</w:t>
            </w:r>
          </w:p>
        </w:tc>
        <w:tc>
          <w:tcPr>
            <w:tcW w:w="2409" w:type="dxa"/>
            <w:shd w:val="clear" w:color="auto" w:fill="DAE9F7" w:themeFill="text2" w:themeFillTint="1A"/>
            <w:vAlign w:val="center"/>
          </w:tcPr>
          <w:p w14:paraId="336D2C7B" w14:textId="3006B956" w:rsidR="00844047" w:rsidRPr="0027781A" w:rsidRDefault="00844047" w:rsidP="00844047">
            <w:pPr>
              <w:pStyle w:val="StandardWeb"/>
              <w:jc w:val="center"/>
              <w:rPr>
                <w:b/>
                <w:bCs/>
              </w:rPr>
            </w:pPr>
            <w:r w:rsidRPr="0027781A">
              <w:rPr>
                <w:b/>
                <w:bCs/>
              </w:rPr>
              <w:t>PLANIRANO U PRORAČUNU</w:t>
            </w:r>
          </w:p>
        </w:tc>
        <w:tc>
          <w:tcPr>
            <w:tcW w:w="2127" w:type="dxa"/>
            <w:shd w:val="clear" w:color="auto" w:fill="DAE9F7" w:themeFill="text2" w:themeFillTint="1A"/>
            <w:vAlign w:val="center"/>
          </w:tcPr>
          <w:p w14:paraId="264B48B8" w14:textId="402DADB1" w:rsidR="00844047" w:rsidRPr="0027781A" w:rsidRDefault="00844047" w:rsidP="00844047">
            <w:pPr>
              <w:pStyle w:val="StandardWeb"/>
              <w:jc w:val="center"/>
              <w:rPr>
                <w:b/>
                <w:bCs/>
              </w:rPr>
            </w:pPr>
            <w:r w:rsidRPr="0027781A">
              <w:rPr>
                <w:b/>
                <w:bCs/>
              </w:rPr>
              <w:t>OSTVARENJE</w:t>
            </w:r>
          </w:p>
        </w:tc>
      </w:tr>
      <w:tr w:rsidR="00844047" w14:paraId="09972097" w14:textId="77777777" w:rsidTr="00844047">
        <w:trPr>
          <w:trHeight w:val="619"/>
        </w:trPr>
        <w:tc>
          <w:tcPr>
            <w:tcW w:w="2689" w:type="dxa"/>
            <w:vAlign w:val="center"/>
          </w:tcPr>
          <w:p w14:paraId="511FC8ED" w14:textId="7713933F" w:rsidR="00844047" w:rsidRDefault="00844047" w:rsidP="00844047">
            <w:pPr>
              <w:pStyle w:val="StandardWeb"/>
            </w:pPr>
            <w:r>
              <w:t>Intelektualne i osobne usluge</w:t>
            </w:r>
          </w:p>
        </w:tc>
        <w:tc>
          <w:tcPr>
            <w:tcW w:w="2409" w:type="dxa"/>
            <w:vAlign w:val="center"/>
          </w:tcPr>
          <w:p w14:paraId="66988EEA" w14:textId="0EEE99B2" w:rsidR="00844047" w:rsidRDefault="00844047" w:rsidP="00844047">
            <w:pPr>
              <w:pStyle w:val="StandardWeb"/>
              <w:jc w:val="center"/>
            </w:pPr>
            <w:r>
              <w:t>6.700,00</w:t>
            </w:r>
          </w:p>
        </w:tc>
        <w:tc>
          <w:tcPr>
            <w:tcW w:w="2127" w:type="dxa"/>
            <w:vAlign w:val="center"/>
          </w:tcPr>
          <w:p w14:paraId="4B6C020A" w14:textId="4FC6670E" w:rsidR="00844047" w:rsidRDefault="00844047" w:rsidP="00844047">
            <w:pPr>
              <w:pStyle w:val="StandardWeb"/>
              <w:jc w:val="center"/>
            </w:pPr>
            <w:r>
              <w:t>6.200,00</w:t>
            </w:r>
          </w:p>
        </w:tc>
      </w:tr>
      <w:tr w:rsidR="00844047" w14:paraId="073CF874" w14:textId="77777777" w:rsidTr="00844047">
        <w:trPr>
          <w:trHeight w:val="592"/>
        </w:trPr>
        <w:tc>
          <w:tcPr>
            <w:tcW w:w="2689" w:type="dxa"/>
            <w:vAlign w:val="center"/>
          </w:tcPr>
          <w:p w14:paraId="05C9E400" w14:textId="4193FDC9" w:rsidR="00844047" w:rsidRDefault="00844047" w:rsidP="00844047">
            <w:pPr>
              <w:pStyle w:val="StandardWeb"/>
            </w:pPr>
            <w:r>
              <w:t>Ostale usluge</w:t>
            </w:r>
          </w:p>
        </w:tc>
        <w:tc>
          <w:tcPr>
            <w:tcW w:w="2409" w:type="dxa"/>
            <w:vAlign w:val="center"/>
          </w:tcPr>
          <w:p w14:paraId="395651D9" w14:textId="3EFA89F9" w:rsidR="00844047" w:rsidRDefault="00844047" w:rsidP="00844047">
            <w:pPr>
              <w:pStyle w:val="StandardWeb"/>
              <w:jc w:val="center"/>
            </w:pPr>
            <w:r>
              <w:t>600,00</w:t>
            </w:r>
          </w:p>
        </w:tc>
        <w:tc>
          <w:tcPr>
            <w:tcW w:w="2127" w:type="dxa"/>
            <w:vAlign w:val="center"/>
          </w:tcPr>
          <w:p w14:paraId="2D3C8EBF" w14:textId="7D7DB425" w:rsidR="00844047" w:rsidRDefault="00844047" w:rsidP="00844047">
            <w:pPr>
              <w:pStyle w:val="StandardWeb"/>
              <w:jc w:val="center"/>
            </w:pPr>
            <w:r>
              <w:t>0,00</w:t>
            </w:r>
          </w:p>
        </w:tc>
      </w:tr>
      <w:tr w:rsidR="00844047" w14:paraId="08729A18" w14:textId="77777777" w:rsidTr="00844047">
        <w:trPr>
          <w:trHeight w:val="619"/>
        </w:trPr>
        <w:tc>
          <w:tcPr>
            <w:tcW w:w="2689" w:type="dxa"/>
            <w:vAlign w:val="center"/>
          </w:tcPr>
          <w:p w14:paraId="49141D0F" w14:textId="0BD14991" w:rsidR="00844047" w:rsidRDefault="00844047" w:rsidP="00844047">
            <w:pPr>
              <w:pStyle w:val="StandardWeb"/>
            </w:pPr>
            <w:r>
              <w:t>Naknade za rad predstavničkih i izvršnih tijela, povjerenstava i sl.</w:t>
            </w:r>
          </w:p>
        </w:tc>
        <w:tc>
          <w:tcPr>
            <w:tcW w:w="2409" w:type="dxa"/>
            <w:vAlign w:val="center"/>
          </w:tcPr>
          <w:p w14:paraId="64DA8F23" w14:textId="39D20E6C" w:rsidR="00844047" w:rsidRDefault="00844047" w:rsidP="00844047">
            <w:pPr>
              <w:pStyle w:val="StandardWeb"/>
              <w:jc w:val="center"/>
            </w:pPr>
            <w:r>
              <w:t>1.300,00</w:t>
            </w:r>
          </w:p>
        </w:tc>
        <w:tc>
          <w:tcPr>
            <w:tcW w:w="2127" w:type="dxa"/>
            <w:vAlign w:val="center"/>
          </w:tcPr>
          <w:p w14:paraId="23AB94A7" w14:textId="17842D48" w:rsidR="00844047" w:rsidRDefault="00844047" w:rsidP="00844047">
            <w:pPr>
              <w:pStyle w:val="StandardWeb"/>
              <w:jc w:val="center"/>
            </w:pPr>
            <w:r>
              <w:t>927,13</w:t>
            </w:r>
          </w:p>
        </w:tc>
      </w:tr>
      <w:tr w:rsidR="00844047" w14:paraId="75A675F4" w14:textId="77777777" w:rsidTr="00844047">
        <w:trPr>
          <w:trHeight w:val="619"/>
        </w:trPr>
        <w:tc>
          <w:tcPr>
            <w:tcW w:w="2689" w:type="dxa"/>
            <w:vAlign w:val="center"/>
          </w:tcPr>
          <w:p w14:paraId="2F8E52E0" w14:textId="3747B360" w:rsidR="00844047" w:rsidRDefault="00844047" w:rsidP="00844047">
            <w:pPr>
              <w:pStyle w:val="StandardWeb"/>
            </w:pPr>
            <w:r>
              <w:t>Reprezentacija</w:t>
            </w:r>
          </w:p>
        </w:tc>
        <w:tc>
          <w:tcPr>
            <w:tcW w:w="2409" w:type="dxa"/>
            <w:vAlign w:val="center"/>
          </w:tcPr>
          <w:p w14:paraId="5E550288" w14:textId="26F2D8C6" w:rsidR="00844047" w:rsidRDefault="00844047" w:rsidP="00844047">
            <w:pPr>
              <w:pStyle w:val="StandardWeb"/>
              <w:jc w:val="center"/>
            </w:pPr>
            <w:r>
              <w:t>700,00</w:t>
            </w:r>
          </w:p>
        </w:tc>
        <w:tc>
          <w:tcPr>
            <w:tcW w:w="2127" w:type="dxa"/>
            <w:vAlign w:val="center"/>
          </w:tcPr>
          <w:p w14:paraId="020E3225" w14:textId="47720593" w:rsidR="00844047" w:rsidRDefault="00844047" w:rsidP="00844047">
            <w:pPr>
              <w:pStyle w:val="StandardWeb"/>
              <w:jc w:val="center"/>
            </w:pPr>
            <w:r>
              <w:t>600,00</w:t>
            </w:r>
          </w:p>
        </w:tc>
      </w:tr>
      <w:tr w:rsidR="00844047" w14:paraId="223D4C4A" w14:textId="77777777" w:rsidTr="00844047">
        <w:trPr>
          <w:trHeight w:val="619"/>
        </w:trPr>
        <w:tc>
          <w:tcPr>
            <w:tcW w:w="2689" w:type="dxa"/>
            <w:shd w:val="clear" w:color="auto" w:fill="DAE9F7" w:themeFill="text2" w:themeFillTint="1A"/>
            <w:vAlign w:val="center"/>
          </w:tcPr>
          <w:p w14:paraId="2A47018A" w14:textId="7B33DA93" w:rsidR="00844047" w:rsidRPr="00844047" w:rsidRDefault="00844047" w:rsidP="00844047">
            <w:pPr>
              <w:pStyle w:val="StandardWeb"/>
              <w:rPr>
                <w:b/>
                <w:bCs/>
              </w:rPr>
            </w:pPr>
            <w:r w:rsidRPr="00844047">
              <w:rPr>
                <w:b/>
                <w:bCs/>
              </w:rPr>
              <w:t>UKUPNO:</w:t>
            </w:r>
          </w:p>
        </w:tc>
        <w:tc>
          <w:tcPr>
            <w:tcW w:w="2409" w:type="dxa"/>
            <w:shd w:val="clear" w:color="auto" w:fill="DAE9F7" w:themeFill="text2" w:themeFillTint="1A"/>
            <w:vAlign w:val="center"/>
          </w:tcPr>
          <w:p w14:paraId="0112E5BA" w14:textId="26230E7C" w:rsidR="00844047" w:rsidRPr="00844047" w:rsidRDefault="00844047" w:rsidP="00844047">
            <w:pPr>
              <w:pStyle w:val="StandardWeb"/>
              <w:jc w:val="center"/>
              <w:rPr>
                <w:b/>
                <w:bCs/>
              </w:rPr>
            </w:pPr>
            <w:r w:rsidRPr="00844047">
              <w:rPr>
                <w:b/>
                <w:bCs/>
              </w:rPr>
              <w:t>9.300,00</w:t>
            </w:r>
          </w:p>
        </w:tc>
        <w:tc>
          <w:tcPr>
            <w:tcW w:w="2127" w:type="dxa"/>
            <w:shd w:val="clear" w:color="auto" w:fill="DAE9F7" w:themeFill="text2" w:themeFillTint="1A"/>
            <w:vAlign w:val="center"/>
          </w:tcPr>
          <w:p w14:paraId="4D03B4D6" w14:textId="56D044DC" w:rsidR="00844047" w:rsidRPr="00844047" w:rsidRDefault="00844047" w:rsidP="00844047">
            <w:pPr>
              <w:pStyle w:val="StandardWeb"/>
              <w:jc w:val="center"/>
              <w:rPr>
                <w:b/>
                <w:bCs/>
              </w:rPr>
            </w:pPr>
            <w:r w:rsidRPr="00844047">
              <w:rPr>
                <w:b/>
                <w:bCs/>
              </w:rPr>
              <w:t>7.727,13</w:t>
            </w:r>
          </w:p>
        </w:tc>
      </w:tr>
    </w:tbl>
    <w:p w14:paraId="49E8055B" w14:textId="04427DB6" w:rsidR="00844047" w:rsidRDefault="008E0A95" w:rsidP="00844047">
      <w:pPr>
        <w:pStyle w:val="StandardWeb"/>
      </w:pPr>
      <w:r>
        <w:t xml:space="preserve"> </w:t>
      </w:r>
    </w:p>
    <w:p w14:paraId="61DE9583" w14:textId="77777777" w:rsidR="0027781A" w:rsidRDefault="0027781A" w:rsidP="00844047">
      <w:pPr>
        <w:pStyle w:val="StandardWeb"/>
      </w:pPr>
    </w:p>
    <w:p w14:paraId="1F90A00F" w14:textId="4368D081" w:rsidR="009E7332" w:rsidRDefault="00844047" w:rsidP="0067390B">
      <w:pPr>
        <w:pStyle w:val="StandardWeb"/>
        <w:jc w:val="right"/>
      </w:pPr>
      <w:r>
        <w:rPr>
          <w:rStyle w:val="Naglaeno"/>
          <w:rFonts w:eastAsiaTheme="majorEastAsia"/>
        </w:rPr>
        <w:t>SAVJET MLADIH GRADA ŠIBENIKA</w:t>
      </w:r>
      <w:r>
        <w:br/>
        <w:t>Predsjednica</w:t>
      </w:r>
      <w:r>
        <w:br/>
      </w:r>
      <w:r>
        <w:rPr>
          <w:rStyle w:val="Naglaeno"/>
          <w:rFonts w:eastAsiaTheme="majorEastAsia"/>
        </w:rPr>
        <w:t>Bruna Vranjić</w:t>
      </w:r>
    </w:p>
    <w:p w14:paraId="175472F8" w14:textId="77777777" w:rsidR="009E7332" w:rsidRPr="009E7332" w:rsidRDefault="009E7332">
      <w:pPr>
        <w:rPr>
          <w:rFonts w:ascii="Times New Roman" w:hAnsi="Times New Roman" w:cs="Times New Roman"/>
        </w:rPr>
      </w:pPr>
    </w:p>
    <w:sectPr w:rsidR="009E7332" w:rsidRPr="009E7332" w:rsidSect="00341322">
      <w:pgSz w:w="11907" w:h="16840" w:code="9"/>
      <w:pgMar w:top="851" w:right="1227" w:bottom="851" w:left="1200" w:header="680" w:footer="335"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47"/>
    <w:rsid w:val="00192DBE"/>
    <w:rsid w:val="0027781A"/>
    <w:rsid w:val="002F4AAA"/>
    <w:rsid w:val="00341322"/>
    <w:rsid w:val="0048771B"/>
    <w:rsid w:val="00593690"/>
    <w:rsid w:val="00610433"/>
    <w:rsid w:val="00660FA2"/>
    <w:rsid w:val="0067390B"/>
    <w:rsid w:val="00844047"/>
    <w:rsid w:val="008E0A95"/>
    <w:rsid w:val="009004A4"/>
    <w:rsid w:val="00977564"/>
    <w:rsid w:val="009B5AD6"/>
    <w:rsid w:val="009E7332"/>
    <w:rsid w:val="00AE7A51"/>
    <w:rsid w:val="00C72660"/>
    <w:rsid w:val="00E92F96"/>
    <w:rsid w:val="00EE25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B410"/>
  <w15:chartTrackingRefBased/>
  <w15:docId w15:val="{21E2D2F2-BCBF-42D1-911C-0052CAEB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44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44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440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440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4404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4404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4404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4404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4404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4404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4404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4404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4404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4404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4404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4404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4404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44047"/>
    <w:rPr>
      <w:rFonts w:eastAsiaTheme="majorEastAsia" w:cstheme="majorBidi"/>
      <w:color w:val="272727" w:themeColor="text1" w:themeTint="D8"/>
    </w:rPr>
  </w:style>
  <w:style w:type="paragraph" w:styleId="Naslov">
    <w:name w:val="Title"/>
    <w:basedOn w:val="Normal"/>
    <w:next w:val="Normal"/>
    <w:link w:val="NaslovChar"/>
    <w:uiPriority w:val="10"/>
    <w:qFormat/>
    <w:rsid w:val="00844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4404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4404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4404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44047"/>
    <w:pPr>
      <w:spacing w:before="160"/>
      <w:jc w:val="center"/>
    </w:pPr>
    <w:rPr>
      <w:i/>
      <w:iCs/>
      <w:color w:val="404040" w:themeColor="text1" w:themeTint="BF"/>
    </w:rPr>
  </w:style>
  <w:style w:type="character" w:customStyle="1" w:styleId="CitatChar">
    <w:name w:val="Citat Char"/>
    <w:basedOn w:val="Zadanifontodlomka"/>
    <w:link w:val="Citat"/>
    <w:uiPriority w:val="29"/>
    <w:rsid w:val="00844047"/>
    <w:rPr>
      <w:i/>
      <w:iCs/>
      <w:color w:val="404040" w:themeColor="text1" w:themeTint="BF"/>
    </w:rPr>
  </w:style>
  <w:style w:type="paragraph" w:styleId="Odlomakpopisa">
    <w:name w:val="List Paragraph"/>
    <w:basedOn w:val="Normal"/>
    <w:uiPriority w:val="34"/>
    <w:qFormat/>
    <w:rsid w:val="00844047"/>
    <w:pPr>
      <w:ind w:left="720"/>
      <w:contextualSpacing/>
    </w:pPr>
  </w:style>
  <w:style w:type="character" w:styleId="Jakoisticanje">
    <w:name w:val="Intense Emphasis"/>
    <w:basedOn w:val="Zadanifontodlomka"/>
    <w:uiPriority w:val="21"/>
    <w:qFormat/>
    <w:rsid w:val="00844047"/>
    <w:rPr>
      <w:i/>
      <w:iCs/>
      <w:color w:val="0F4761" w:themeColor="accent1" w:themeShade="BF"/>
    </w:rPr>
  </w:style>
  <w:style w:type="paragraph" w:styleId="Naglaencitat">
    <w:name w:val="Intense Quote"/>
    <w:basedOn w:val="Normal"/>
    <w:next w:val="Normal"/>
    <w:link w:val="NaglaencitatChar"/>
    <w:uiPriority w:val="30"/>
    <w:qFormat/>
    <w:rsid w:val="00844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44047"/>
    <w:rPr>
      <w:i/>
      <w:iCs/>
      <w:color w:val="0F4761" w:themeColor="accent1" w:themeShade="BF"/>
    </w:rPr>
  </w:style>
  <w:style w:type="character" w:styleId="Istaknutareferenca">
    <w:name w:val="Intense Reference"/>
    <w:basedOn w:val="Zadanifontodlomka"/>
    <w:uiPriority w:val="32"/>
    <w:qFormat/>
    <w:rsid w:val="00844047"/>
    <w:rPr>
      <w:b/>
      <w:bCs/>
      <w:smallCaps/>
      <w:color w:val="0F4761" w:themeColor="accent1" w:themeShade="BF"/>
      <w:spacing w:val="5"/>
    </w:rPr>
  </w:style>
  <w:style w:type="paragraph" w:styleId="StandardWeb">
    <w:name w:val="Normal (Web)"/>
    <w:basedOn w:val="Normal"/>
    <w:uiPriority w:val="99"/>
    <w:unhideWhenUsed/>
    <w:rsid w:val="00844047"/>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Naglaeno">
    <w:name w:val="Strong"/>
    <w:basedOn w:val="Zadanifontodlomka"/>
    <w:uiPriority w:val="22"/>
    <w:qFormat/>
    <w:rsid w:val="00844047"/>
    <w:rPr>
      <w:b/>
      <w:bCs/>
    </w:rPr>
  </w:style>
  <w:style w:type="table" w:styleId="Reetkatablice">
    <w:name w:val="Table Grid"/>
    <w:basedOn w:val="Obinatablica"/>
    <w:uiPriority w:val="39"/>
    <w:rsid w:val="0084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8E0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1458</Words>
  <Characters>8314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Bračić Janjić</dc:creator>
  <cp:keywords/>
  <dc:description/>
  <cp:lastModifiedBy>Iva Bračić Janjić</cp:lastModifiedBy>
  <cp:revision>6</cp:revision>
  <cp:lastPrinted>2026-03-19T13:26:00Z</cp:lastPrinted>
  <dcterms:created xsi:type="dcterms:W3CDTF">2026-03-19T08:09:00Z</dcterms:created>
  <dcterms:modified xsi:type="dcterms:W3CDTF">2026-03-19T13:26:00Z</dcterms:modified>
</cp:coreProperties>
</file>